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9E" w:rsidRPr="0001339E" w:rsidRDefault="0001339E" w:rsidP="0001339E">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43"/>
          <w:szCs w:val="43"/>
        </w:rPr>
      </w:pPr>
      <w:r w:rsidRPr="0001339E">
        <w:rPr>
          <w:rFonts w:ascii="微软雅黑" w:eastAsia="微软雅黑" w:hAnsi="微软雅黑" w:cs="宋体" w:hint="eastAsia"/>
          <w:b/>
          <w:bCs/>
          <w:color w:val="4B4B4B"/>
          <w:kern w:val="36"/>
          <w:sz w:val="43"/>
          <w:szCs w:val="43"/>
        </w:rPr>
        <w:t>教育部关于2019—2021年基础学科</w:t>
      </w:r>
      <w:r w:rsidRPr="0001339E">
        <w:rPr>
          <w:rFonts w:ascii="微软雅黑" w:eastAsia="微软雅黑" w:hAnsi="微软雅黑" w:cs="宋体" w:hint="eastAsia"/>
          <w:b/>
          <w:bCs/>
          <w:color w:val="4B4B4B"/>
          <w:kern w:val="36"/>
          <w:sz w:val="43"/>
          <w:szCs w:val="43"/>
        </w:rPr>
        <w:br/>
        <w:t>拔尖学生培养基地建设工作的通知</w:t>
      </w:r>
    </w:p>
    <w:p w:rsidR="0001339E" w:rsidRPr="0001339E" w:rsidRDefault="0001339E" w:rsidP="0001339E">
      <w:pPr>
        <w:widowControl/>
        <w:shd w:val="clear" w:color="auto" w:fill="FFFFFF"/>
        <w:spacing w:before="100" w:beforeAutospacing="1" w:after="100" w:afterAutospacing="1" w:line="688" w:lineRule="atLeast"/>
        <w:jc w:val="righ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教高函〔2019〕14号</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为贯彻全国教育大会精神，根据《教育部关于加快建设高水平本科教育全面提高人才培养能力的意见》《教育部等六部门关于实施基础学科拔尖学生培养计划2.0的意见》等相关文件精神，深入实施基础学科拔尖学生培养计划2.0（以下简称拔尖计划2.0），加快培养基础学科拔尖人才。经研究，现就2019—2021年基础学科拔尖学生培养基地建设工作通知如下。</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w:t>
      </w:r>
      <w:r w:rsidRPr="0001339E">
        <w:rPr>
          <w:rFonts w:ascii="微软雅黑" w:eastAsia="微软雅黑" w:hAnsi="微软雅黑" w:cs="宋体" w:hint="eastAsia"/>
          <w:b/>
          <w:bCs/>
          <w:color w:val="4B4B4B"/>
          <w:kern w:val="0"/>
          <w:sz w:val="34"/>
          <w:szCs w:val="34"/>
        </w:rPr>
        <w:t>一、指导思想</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以习近平新时代中国特色社会主义思想为指导，深入贯彻党的十九大精神，落实全国教育大会精神，全面落实新时代全国高等学校本科教育工作会议精神，坚持立德树人，遵循基础学科拔尖创新人才成长规律，以体</w:t>
      </w:r>
      <w:r w:rsidRPr="0001339E">
        <w:rPr>
          <w:rFonts w:ascii="微软雅黑" w:eastAsia="微软雅黑" w:hAnsi="微软雅黑" w:cs="宋体" w:hint="eastAsia"/>
          <w:color w:val="4B4B4B"/>
          <w:kern w:val="0"/>
          <w:sz w:val="34"/>
          <w:szCs w:val="34"/>
        </w:rPr>
        <w:lastRenderedPageBreak/>
        <w:t>制机制创新和教育教学改革为重点，强化使命驱动，注重大师引领，创新学习方式，提升综合素养，促进学科交叉、科教融合，深化国际合作，科学选才鉴才相结合，进一步拓围、增量、提质、创新，对标国际先进水平，建设基础学科拔尖学生培养一流基地，着力培养未来的杰出自然科学家、社会科学家和医学科学家，提升国家硬实力、软实力和健康力，为把我国建设成为世界主要科学中心和创新高地奠定人才基础。</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w:t>
      </w:r>
      <w:r w:rsidRPr="0001339E">
        <w:rPr>
          <w:rFonts w:ascii="微软雅黑" w:eastAsia="微软雅黑" w:hAnsi="微软雅黑" w:cs="宋体" w:hint="eastAsia"/>
          <w:b/>
          <w:bCs/>
          <w:color w:val="4B4B4B"/>
          <w:kern w:val="0"/>
          <w:sz w:val="34"/>
          <w:szCs w:val="34"/>
        </w:rPr>
        <w:t>二、建设目标</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2019—2021年，分年度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中国特色、世界水平的基础学科拔尖人才培养体系，促进一批勇攀科学高峰、推动科学文化发展的优秀拔尖人才崭露头角。</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w:t>
      </w:r>
      <w:r w:rsidRPr="0001339E">
        <w:rPr>
          <w:rFonts w:ascii="微软雅黑" w:eastAsia="微软雅黑" w:hAnsi="微软雅黑" w:cs="宋体" w:hint="eastAsia"/>
          <w:b/>
          <w:bCs/>
          <w:color w:val="4B4B4B"/>
          <w:kern w:val="0"/>
          <w:sz w:val="34"/>
          <w:szCs w:val="34"/>
        </w:rPr>
        <w:t>三、基本原则</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lastRenderedPageBreak/>
        <w:t xml:space="preserve">　　坚持超前规划，长远布局。面向国家战略需求、人类未来发展、思想文化创新和基础学科前沿，超前谋划基础学科拔尖人才培养。尊重拔尖人才成长规律，坚持长周期支持、长周期观测、长周期评价，立足长远、厚植土壤、注重培育，从长计议、循序渐进、持续投入。</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坚持学校主体，协同联动。以学校为培养主体，鼓励自主化、多元化探索，加大校内政策、资源整合力度，建好基础学科拔尖学生培养基地。建立有关政府部门、事业单位、人民团体等多方联动的协同工作机制，统筹优质资源，提供良好保障。</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坚持聚焦中心，特色发展。以人才培养为核心，推进改革、汇聚大师、整合资源，努力构建中国特色、世界水平的基础学科拔尖人才培养体系。鼓励学校基于学科特点，在自然科学、哲学社会科学、基础医学三个领域开展自主探索、实现特色发展。</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坚持继承创新，开放交融。在前期探索的“一制三化”（导师制、小班化、个性化、国际化）等有效模式基础上，进一步推动制度创新、模式创新、机制创新，探索基础学科拔尖人才培养的中国方案。坚持国际标准，</w:t>
      </w:r>
      <w:r w:rsidRPr="0001339E">
        <w:rPr>
          <w:rFonts w:ascii="微软雅黑" w:eastAsia="微软雅黑" w:hAnsi="微软雅黑" w:cs="宋体" w:hint="eastAsia"/>
          <w:color w:val="4B4B4B"/>
          <w:kern w:val="0"/>
          <w:sz w:val="34"/>
          <w:szCs w:val="34"/>
        </w:rPr>
        <w:lastRenderedPageBreak/>
        <w:t>推动国内外双向合作，注重学科交叉、科教融合，促进学生中西融汇、古今贯通、文理渗透。</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w:t>
      </w:r>
      <w:r w:rsidRPr="0001339E">
        <w:rPr>
          <w:rFonts w:ascii="微软雅黑" w:eastAsia="微软雅黑" w:hAnsi="微软雅黑" w:cs="宋体" w:hint="eastAsia"/>
          <w:b/>
          <w:bCs/>
          <w:color w:val="4B4B4B"/>
          <w:kern w:val="0"/>
          <w:sz w:val="34"/>
          <w:szCs w:val="34"/>
        </w:rPr>
        <w:t>四、建设任务</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基础学科拔尖学生培养基地是高校实施拔尖计划2.0的具体载体。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国家教学、科研任务的需要，组建的跨学科人才培养基地或其他教学实体。基础学科拔尖学生培养基地要坚持学生中心、持续改进的理念，加大拔尖创新人才培养的改革创新力度。</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一）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lastRenderedPageBreak/>
        <w:t xml:space="preserve">　　（二）精心育才。加强思想政治教育和素质教育，培育爱国主义、科学道德、批判精神和创新精神等，使学生明大德、守公德、严私德。加强学科交叉融合，促进中西融汇、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三）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w:t>
      </w:r>
      <w:r w:rsidRPr="0001339E">
        <w:rPr>
          <w:rFonts w:ascii="微软雅黑" w:eastAsia="微软雅黑" w:hAnsi="微软雅黑" w:cs="宋体" w:hint="eastAsia"/>
          <w:b/>
          <w:bCs/>
          <w:color w:val="4B4B4B"/>
          <w:kern w:val="0"/>
          <w:sz w:val="34"/>
          <w:szCs w:val="34"/>
        </w:rPr>
        <w:t>五、建设规划</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（一）实施范围。数学、物理学、化学、生物科学、计算机科学、天文学、地理科学、大气科学、海洋科学、</w:t>
      </w:r>
      <w:r w:rsidRPr="0001339E">
        <w:rPr>
          <w:rFonts w:ascii="微软雅黑" w:eastAsia="微软雅黑" w:hAnsi="微软雅黑" w:cs="宋体" w:hint="eastAsia"/>
          <w:color w:val="4B4B4B"/>
          <w:kern w:val="0"/>
          <w:sz w:val="34"/>
          <w:szCs w:val="34"/>
        </w:rPr>
        <w:lastRenderedPageBreak/>
        <w:t>地球物理学、地质学、心理学、基础医学、哲学、经济学、中国语言文学、历史学。</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（二）基地数量。2019—2021年，拟遴选建设260个基础学科拔尖学生培养基地，包括190个左右的理科基地、60个左右的文科基地以及10个左右的医科基地（分年度规划见附表）。</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（三）培养规模。基础学科拔尖学生培养基地获批建设后，每个基地每年的招生人数原则上不超过20人。</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（四）建设方式。采取高校试点先行、申报遴选、长期支持的方式，按建设规划分年度遴选基础学科拔尖学生培养基地。</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w:t>
      </w:r>
      <w:r w:rsidRPr="0001339E">
        <w:rPr>
          <w:rFonts w:ascii="微软雅黑" w:eastAsia="微软雅黑" w:hAnsi="微软雅黑" w:cs="宋体" w:hint="eastAsia"/>
          <w:b/>
          <w:bCs/>
          <w:color w:val="4B4B4B"/>
          <w:kern w:val="0"/>
          <w:sz w:val="34"/>
          <w:szCs w:val="34"/>
        </w:rPr>
        <w:t>六、组织管理</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一）统筹规划、梯次实施。根据国家经济社会发展长远需求，按照“六卓越一拔尖”计划2.0总体实施方案具体安排，教育部负责宏观指导，统筹编制基础学科拔尖学生培养基地建设规划，组建相关工作组织和专家委员会，协调国家有关部门提供配套政策支持。教育部高等教育司负责具体年度建设工作的部署，组织基础学</w:t>
      </w:r>
      <w:r w:rsidRPr="0001339E">
        <w:rPr>
          <w:rFonts w:ascii="微软雅黑" w:eastAsia="微软雅黑" w:hAnsi="微软雅黑" w:cs="宋体" w:hint="eastAsia"/>
          <w:color w:val="4B4B4B"/>
          <w:kern w:val="0"/>
          <w:sz w:val="34"/>
          <w:szCs w:val="34"/>
        </w:rPr>
        <w:lastRenderedPageBreak/>
        <w:t>科拔尖学生培养基地申报遴选；组织或委托相关机构或专家组织开展政策研究、人才培养机制研究等工作，实施基础学科拔尖学生培养基地跟踪监测和综合评价。</w:t>
      </w: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 xml:space="preserve">　　（二）主动作为、改革创新。相关高校是基础学科拔尖学生培养基地的建设主体，要将基地建设纳入学校总体规划，加强组织保障、政策保障和经费保障。要建立健全学生、教师、教学管理制度体系，统筹科学研究、社会实践、国际交流等各类资源，完善经费投入、使用、监管等机制，建设信息化资源和管理平台，形成有利于基础学科拔尖人才培养的优渥环境。对建设质量不高、出现严重问题的基地将进行动态调整。　</w:t>
      </w:r>
    </w:p>
    <w:p w:rsidR="0001339E" w:rsidRPr="0001339E" w:rsidRDefault="0001339E" w:rsidP="0001339E">
      <w:pPr>
        <w:widowControl/>
        <w:shd w:val="clear" w:color="auto" w:fill="FFFFFF"/>
        <w:spacing w:before="100" w:beforeAutospacing="1" w:after="100" w:afterAutospacing="1" w:line="688" w:lineRule="atLeast"/>
        <w:jc w:val="righ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教育部</w:t>
      </w:r>
    </w:p>
    <w:p w:rsidR="0001339E" w:rsidRPr="0001339E" w:rsidRDefault="0001339E" w:rsidP="0001339E">
      <w:pPr>
        <w:widowControl/>
        <w:shd w:val="clear" w:color="auto" w:fill="FFFFFF"/>
        <w:spacing w:before="100" w:beforeAutospacing="1" w:after="100" w:afterAutospacing="1" w:line="688" w:lineRule="atLeast"/>
        <w:jc w:val="right"/>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color w:val="4B4B4B"/>
          <w:kern w:val="0"/>
          <w:sz w:val="34"/>
          <w:szCs w:val="34"/>
        </w:rPr>
        <w:t>2019年8月20日</w:t>
      </w:r>
    </w:p>
    <w:p w:rsid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b/>
          <w:bCs/>
          <w:color w:val="4B4B4B"/>
          <w:kern w:val="0"/>
          <w:sz w:val="34"/>
          <w:szCs w:val="34"/>
        </w:rPr>
      </w:pPr>
    </w:p>
    <w:p w:rsid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b/>
          <w:bCs/>
          <w:color w:val="4B4B4B"/>
          <w:kern w:val="0"/>
          <w:sz w:val="34"/>
          <w:szCs w:val="34"/>
        </w:rPr>
      </w:pPr>
    </w:p>
    <w:p w:rsid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b/>
          <w:bCs/>
          <w:color w:val="4B4B4B"/>
          <w:kern w:val="0"/>
          <w:sz w:val="34"/>
          <w:szCs w:val="34"/>
        </w:rPr>
      </w:pPr>
    </w:p>
    <w:p w:rsid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b/>
          <w:bCs/>
          <w:color w:val="4B4B4B"/>
          <w:kern w:val="0"/>
          <w:sz w:val="34"/>
          <w:szCs w:val="34"/>
        </w:rPr>
      </w:pPr>
    </w:p>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b/>
          <w:bCs/>
          <w:color w:val="4B4B4B"/>
          <w:kern w:val="0"/>
          <w:sz w:val="34"/>
          <w:szCs w:val="34"/>
        </w:rPr>
        <w:lastRenderedPageBreak/>
        <w:t>附表</w:t>
      </w:r>
    </w:p>
    <w:p w:rsidR="0001339E" w:rsidRPr="0001339E" w:rsidRDefault="0001339E" w:rsidP="0001339E">
      <w:pPr>
        <w:widowControl/>
        <w:shd w:val="clear" w:color="auto" w:fill="FFFFFF"/>
        <w:spacing w:before="100" w:beforeAutospacing="1" w:after="100" w:afterAutospacing="1" w:line="688" w:lineRule="atLeast"/>
        <w:jc w:val="center"/>
        <w:rPr>
          <w:rFonts w:ascii="微软雅黑" w:eastAsia="微软雅黑" w:hAnsi="微软雅黑" w:cs="宋体" w:hint="eastAsia"/>
          <w:color w:val="4B4B4B"/>
          <w:kern w:val="0"/>
          <w:sz w:val="34"/>
          <w:szCs w:val="34"/>
        </w:rPr>
      </w:pPr>
      <w:r w:rsidRPr="0001339E">
        <w:rPr>
          <w:rFonts w:ascii="微软雅黑" w:eastAsia="微软雅黑" w:hAnsi="微软雅黑" w:cs="宋体" w:hint="eastAsia"/>
          <w:b/>
          <w:bCs/>
          <w:color w:val="4B4B4B"/>
          <w:kern w:val="0"/>
          <w:sz w:val="34"/>
          <w:szCs w:val="34"/>
        </w:rPr>
        <w:t>2019—2021年基础学科拔尖学生培养基地建设规划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807"/>
        <w:gridCol w:w="1807"/>
        <w:gridCol w:w="1146"/>
        <w:gridCol w:w="1146"/>
        <w:gridCol w:w="1144"/>
      </w:tblGrid>
      <w:tr w:rsidR="0001339E" w:rsidRPr="0001339E" w:rsidTr="0001339E">
        <w:trPr>
          <w:trHeight w:val="156"/>
          <w:tblHeader/>
          <w:jc w:val="center"/>
        </w:trPr>
        <w:tc>
          <w:tcPr>
            <w:tcW w:w="1907" w:type="pct"/>
            <w:gridSpan w:val="2"/>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156"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建设范围</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156"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建设规划</w:t>
            </w:r>
          </w:p>
        </w:tc>
        <w:tc>
          <w:tcPr>
            <w:tcW w:w="2028"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156"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分年度建设规划</w:t>
            </w:r>
          </w:p>
        </w:tc>
      </w:tr>
      <w:tr w:rsidR="0001339E" w:rsidRPr="0001339E" w:rsidTr="0001339E">
        <w:trPr>
          <w:trHeight w:val="156"/>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156"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2019年</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156"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2020年</w:t>
            </w:r>
          </w:p>
        </w:tc>
        <w:tc>
          <w:tcPr>
            <w:tcW w:w="67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156"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2021年</w:t>
            </w:r>
          </w:p>
        </w:tc>
      </w:tr>
      <w:tr w:rsidR="0001339E" w:rsidRPr="0001339E" w:rsidTr="0001339E">
        <w:trPr>
          <w:trHeight w:val="510"/>
          <w:jc w:val="center"/>
        </w:trPr>
        <w:tc>
          <w:tcPr>
            <w:tcW w:w="84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理科基地</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数学</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155</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60</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50</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45</w:t>
            </w: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物理学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化学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生物科学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计算机科学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天文学</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35</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15</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12</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8</w:t>
            </w: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地理科学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大气科学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海洋科学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地球物理学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地质学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心理学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84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lastRenderedPageBreak/>
              <w:t>医科基地</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基础医学</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10</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5</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3</w:t>
            </w:r>
          </w:p>
        </w:tc>
        <w:tc>
          <w:tcPr>
            <w:tcW w:w="67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w:t>
            </w:r>
          </w:p>
        </w:tc>
      </w:tr>
      <w:tr w:rsidR="0001339E" w:rsidRPr="0001339E" w:rsidTr="0001339E">
        <w:trPr>
          <w:trHeight w:val="510"/>
          <w:jc w:val="center"/>
        </w:trPr>
        <w:tc>
          <w:tcPr>
            <w:tcW w:w="84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文科基地</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哲学</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60</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20</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20</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360" w:lineRule="auto"/>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20</w:t>
            </w: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经济学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中国语言文学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left"/>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历史学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39E" w:rsidRPr="0001339E" w:rsidRDefault="0001339E" w:rsidP="0001339E">
            <w:pPr>
              <w:widowControl/>
              <w:jc w:val="left"/>
              <w:rPr>
                <w:rFonts w:ascii="微软雅黑" w:eastAsia="微软雅黑" w:hAnsi="微软雅黑" w:cs="宋体"/>
                <w:color w:val="4B4B4B"/>
                <w:kern w:val="0"/>
                <w:sz w:val="34"/>
                <w:szCs w:val="34"/>
              </w:rPr>
            </w:pPr>
          </w:p>
        </w:tc>
      </w:tr>
      <w:tr w:rsidR="0001339E" w:rsidRPr="0001339E" w:rsidTr="0001339E">
        <w:trPr>
          <w:trHeight w:val="511"/>
          <w:jc w:val="center"/>
        </w:trPr>
        <w:tc>
          <w:tcPr>
            <w:tcW w:w="1907"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b/>
                <w:bCs/>
                <w:color w:val="4B4B4B"/>
                <w:kern w:val="0"/>
                <w:sz w:val="34"/>
                <w:szCs w:val="34"/>
              </w:rPr>
              <w:t>总计</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260</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100</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85</w:t>
            </w:r>
          </w:p>
        </w:tc>
        <w:tc>
          <w:tcPr>
            <w:tcW w:w="67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1339E" w:rsidRPr="0001339E" w:rsidRDefault="0001339E" w:rsidP="0001339E">
            <w:pPr>
              <w:widowControl/>
              <w:spacing w:before="100" w:beforeAutospacing="1" w:after="100" w:afterAutospacing="1" w:line="688" w:lineRule="atLeast"/>
              <w:jc w:val="center"/>
              <w:rPr>
                <w:rFonts w:ascii="微软雅黑" w:eastAsia="微软雅黑" w:hAnsi="微软雅黑" w:cs="宋体"/>
                <w:color w:val="4B4B4B"/>
                <w:kern w:val="0"/>
                <w:sz w:val="34"/>
                <w:szCs w:val="34"/>
              </w:rPr>
            </w:pPr>
            <w:r w:rsidRPr="0001339E">
              <w:rPr>
                <w:rFonts w:ascii="微软雅黑" w:eastAsia="微软雅黑" w:hAnsi="微软雅黑" w:cs="宋体" w:hint="eastAsia"/>
                <w:color w:val="4B4B4B"/>
                <w:kern w:val="0"/>
                <w:sz w:val="34"/>
                <w:szCs w:val="34"/>
              </w:rPr>
              <w:t>75</w:t>
            </w:r>
          </w:p>
        </w:tc>
      </w:tr>
    </w:tbl>
    <w:p w:rsidR="0001339E" w:rsidRPr="0001339E" w:rsidRDefault="0001339E" w:rsidP="0001339E">
      <w:pPr>
        <w:widowControl/>
        <w:shd w:val="clear" w:color="auto" w:fill="FFFFFF"/>
        <w:spacing w:before="100" w:beforeAutospacing="1" w:after="100" w:afterAutospacing="1" w:line="688" w:lineRule="atLeast"/>
        <w:jc w:val="left"/>
        <w:rPr>
          <w:rFonts w:ascii="微软雅黑" w:eastAsia="微软雅黑" w:hAnsi="微软雅黑" w:cs="宋体" w:hint="eastAsia"/>
          <w:color w:val="4B4B4B"/>
          <w:kern w:val="0"/>
          <w:sz w:val="34"/>
          <w:szCs w:val="34"/>
        </w:rPr>
      </w:pPr>
      <w:r w:rsidRPr="0001339E">
        <w:rPr>
          <w:rFonts w:ascii="楷体" w:eastAsia="楷体" w:hAnsi="楷体" w:cs="宋体" w:hint="eastAsia"/>
          <w:color w:val="4B4B4B"/>
          <w:kern w:val="0"/>
          <w:sz w:val="34"/>
          <w:szCs w:val="34"/>
        </w:rPr>
        <w:t>注：分年度建设规划将根据高校建设情况、建设质量和建设进度等因素做适当调整。</w:t>
      </w:r>
    </w:p>
    <w:p w:rsidR="00756E93" w:rsidRPr="0001339E" w:rsidRDefault="00756E93"/>
    <w:sectPr w:rsidR="00756E93" w:rsidRPr="0001339E" w:rsidSect="00756E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39E"/>
    <w:rsid w:val="0001339E"/>
    <w:rsid w:val="00756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49814">
      <w:bodyDiv w:val="1"/>
      <w:marLeft w:val="0"/>
      <w:marRight w:val="0"/>
      <w:marTop w:val="0"/>
      <w:marBottom w:val="0"/>
      <w:divBdr>
        <w:top w:val="none" w:sz="0" w:space="0" w:color="auto"/>
        <w:left w:val="none" w:sz="0" w:space="0" w:color="auto"/>
        <w:bottom w:val="none" w:sz="0" w:space="0" w:color="auto"/>
        <w:right w:val="none" w:sz="0" w:space="0" w:color="auto"/>
      </w:divBdr>
      <w:divsChild>
        <w:div w:id="1375085338">
          <w:marLeft w:val="0"/>
          <w:marRight w:val="0"/>
          <w:marTop w:val="0"/>
          <w:marBottom w:val="0"/>
          <w:divBdr>
            <w:top w:val="none" w:sz="0" w:space="0" w:color="auto"/>
            <w:left w:val="none" w:sz="0" w:space="0" w:color="auto"/>
            <w:bottom w:val="none" w:sz="0" w:space="0" w:color="auto"/>
            <w:right w:val="none" w:sz="0" w:space="0" w:color="auto"/>
          </w:divBdr>
          <w:divsChild>
            <w:div w:id="1935429386">
              <w:marLeft w:val="0"/>
              <w:marRight w:val="0"/>
              <w:marTop w:val="0"/>
              <w:marBottom w:val="0"/>
              <w:divBdr>
                <w:top w:val="none" w:sz="0" w:space="0" w:color="auto"/>
                <w:left w:val="none" w:sz="0" w:space="0" w:color="auto"/>
                <w:bottom w:val="none" w:sz="0" w:space="0" w:color="auto"/>
                <w:right w:val="none" w:sz="0" w:space="0" w:color="auto"/>
              </w:divBdr>
              <w:divsChild>
                <w:div w:id="2070490909">
                  <w:marLeft w:val="0"/>
                  <w:marRight w:val="0"/>
                  <w:marTop w:val="0"/>
                  <w:marBottom w:val="0"/>
                  <w:divBdr>
                    <w:top w:val="single" w:sz="8" w:space="31" w:color="BCBCBC"/>
                    <w:left w:val="single" w:sz="8" w:space="31" w:color="BCBCBC"/>
                    <w:bottom w:val="single" w:sz="8" w:space="22" w:color="BCBCBC"/>
                    <w:right w:val="single" w:sz="8" w:space="31" w:color="BCBCBC"/>
                  </w:divBdr>
                  <w:divsChild>
                    <w:div w:id="15610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7918">
      <w:bodyDiv w:val="1"/>
      <w:marLeft w:val="0"/>
      <w:marRight w:val="0"/>
      <w:marTop w:val="0"/>
      <w:marBottom w:val="0"/>
      <w:divBdr>
        <w:top w:val="none" w:sz="0" w:space="0" w:color="auto"/>
        <w:left w:val="none" w:sz="0" w:space="0" w:color="auto"/>
        <w:bottom w:val="none" w:sz="0" w:space="0" w:color="auto"/>
        <w:right w:val="none" w:sz="0" w:space="0" w:color="auto"/>
      </w:divBdr>
      <w:divsChild>
        <w:div w:id="396323446">
          <w:marLeft w:val="0"/>
          <w:marRight w:val="0"/>
          <w:marTop w:val="0"/>
          <w:marBottom w:val="0"/>
          <w:divBdr>
            <w:top w:val="none" w:sz="0" w:space="0" w:color="auto"/>
            <w:left w:val="none" w:sz="0" w:space="0" w:color="auto"/>
            <w:bottom w:val="none" w:sz="0" w:space="0" w:color="auto"/>
            <w:right w:val="none" w:sz="0" w:space="0" w:color="auto"/>
          </w:divBdr>
          <w:divsChild>
            <w:div w:id="71391409">
              <w:marLeft w:val="0"/>
              <w:marRight w:val="0"/>
              <w:marTop w:val="0"/>
              <w:marBottom w:val="0"/>
              <w:divBdr>
                <w:top w:val="none" w:sz="0" w:space="0" w:color="auto"/>
                <w:left w:val="none" w:sz="0" w:space="0" w:color="auto"/>
                <w:bottom w:val="none" w:sz="0" w:space="0" w:color="auto"/>
                <w:right w:val="none" w:sz="0" w:space="0" w:color="auto"/>
              </w:divBdr>
              <w:divsChild>
                <w:div w:id="1826387126">
                  <w:marLeft w:val="0"/>
                  <w:marRight w:val="0"/>
                  <w:marTop w:val="0"/>
                  <w:marBottom w:val="0"/>
                  <w:divBdr>
                    <w:top w:val="single" w:sz="8" w:space="31" w:color="BCBCBC"/>
                    <w:left w:val="single" w:sz="8" w:space="31" w:color="BCBCBC"/>
                    <w:bottom w:val="single" w:sz="8" w:space="22" w:color="BCBCBC"/>
                    <w:right w:val="single" w:sz="8" w:space="31" w:color="BCBCBC"/>
                  </w:divBdr>
                  <w:divsChild>
                    <w:div w:id="1251506668">
                      <w:marLeft w:val="0"/>
                      <w:marRight w:val="0"/>
                      <w:marTop w:val="0"/>
                      <w:marBottom w:val="0"/>
                      <w:divBdr>
                        <w:top w:val="none" w:sz="0" w:space="0" w:color="auto"/>
                        <w:left w:val="none" w:sz="0" w:space="0" w:color="auto"/>
                        <w:bottom w:val="none" w:sz="0" w:space="0" w:color="auto"/>
                        <w:right w:val="none" w:sz="0" w:space="0" w:color="auto"/>
                      </w:divBdr>
                      <w:divsChild>
                        <w:div w:id="1088035977">
                          <w:marLeft w:val="0"/>
                          <w:marRight w:val="0"/>
                          <w:marTop w:val="6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462</Words>
  <Characters>2639</Characters>
  <Application>Microsoft Office Word</Application>
  <DocSecurity>0</DocSecurity>
  <Lines>21</Lines>
  <Paragraphs>6</Paragraphs>
  <ScaleCrop>false</ScaleCrop>
  <Company>User</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2006982021胡中波</dc:creator>
  <cp:lastModifiedBy>2006982021胡中波</cp:lastModifiedBy>
  <cp:revision>1</cp:revision>
  <dcterms:created xsi:type="dcterms:W3CDTF">2019-09-02T02:44:00Z</dcterms:created>
  <dcterms:modified xsi:type="dcterms:W3CDTF">2019-09-02T02:45:00Z</dcterms:modified>
</cp:coreProperties>
</file>