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8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eastAsia="黑体"/>
        </w:rPr>
        <w:t>1</w:t>
      </w:r>
    </w:p>
    <w:p>
      <w:pPr>
        <w:snapToGrid w:val="0"/>
        <w:spacing w:before="590" w:beforeLines="100" w:after="590" w:afterLines="100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44"/>
        </w:rPr>
        <w:br w:type="textWrapping"/>
      </w:r>
      <w:r>
        <w:rPr>
          <w:rFonts w:hint="eastAsia" w:ascii="楷体_GB2312" w:eastAsia="楷体_GB2312"/>
          <w:b/>
          <w:sz w:val="20"/>
        </w:rPr>
        <w:t>（学生联）</w:t>
      </w:r>
    </w:p>
    <w:p>
      <w:pPr>
        <w:snapToGrid w:val="0"/>
        <w:spacing w:line="324" w:lineRule="auto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</w:t>
      </w:r>
    </w:p>
    <w:p>
      <w:pPr>
        <w:snapToGrid w:val="0"/>
        <w:spacing w:line="324" w:lineRule="auto"/>
        <w:ind w:firstLine="432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学期，你应修满累计课程总学分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学分，你实际获得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号）有关规定，你已达到（学业性预警、学业性降级、学业性退学）条件。预警等级：（黄色预警、橙色预警、红色预警）。</w:t>
      </w:r>
    </w:p>
    <w:p>
      <w:pPr>
        <w:snapToGrid w:val="0"/>
        <w:spacing w:line="324" w:lineRule="auto"/>
        <w:ind w:firstLine="432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特此通知！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napToGrid w:val="0"/>
              <w:spacing w:before="590" w:beforeLines="100" w:after="295" w:afterLines="50" w:line="324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教学办签章：           学工办签章：            学生签名：</w:t>
            </w:r>
          </w:p>
        </w:tc>
      </w:tr>
    </w:tbl>
    <w:p>
      <w:pPr>
        <w:snapToGrid w:val="0"/>
        <w:spacing w:before="590" w:beforeLines="100" w:after="590" w:afterLines="100" w:line="324" w:lineRule="auto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44"/>
        </w:rPr>
        <w:br w:type="textWrapping"/>
      </w:r>
      <w:r>
        <w:rPr>
          <w:rFonts w:hint="eastAsia" w:ascii="楷体_GB2312" w:eastAsia="楷体_GB2312"/>
          <w:b/>
          <w:sz w:val="20"/>
        </w:rPr>
        <w:t>（存根联）</w:t>
      </w:r>
    </w:p>
    <w:p>
      <w:pPr>
        <w:snapToGrid w:val="0"/>
        <w:spacing w:line="324" w:lineRule="auto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</w:t>
      </w:r>
    </w:p>
    <w:p>
      <w:pPr>
        <w:snapToGrid w:val="0"/>
        <w:spacing w:line="324" w:lineRule="auto"/>
        <w:ind w:firstLine="432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学期，你应修满累计课程总学分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学分，你实际获得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号）有关规定，你已达到（学业性预警、学业性降级、学业性退学）条件。预警等级：（黄色预警、橙色预警、红色预警）。</w:t>
      </w:r>
    </w:p>
    <w:p>
      <w:pPr>
        <w:snapToGrid w:val="0"/>
        <w:spacing w:line="324" w:lineRule="auto"/>
        <w:ind w:firstLine="432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特此通知。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p>
      <w:pPr>
        <w:pageBreakBefore/>
        <w:snapToGrid w:val="0"/>
        <w:spacing w:before="590" w:beforeLines="100" w:after="590" w:afterLines="100"/>
        <w:jc w:val="center"/>
        <w:rPr>
          <w:rFonts w:ascii="楷体_GB2312" w:eastAsia="楷体_GB2312"/>
          <w:b/>
          <w:sz w:val="20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</w:t>
      </w:r>
      <w:r>
        <w:rPr>
          <w:rFonts w:hint="eastAsia" w:ascii="黑体" w:eastAsia="黑体"/>
          <w:sz w:val="28"/>
          <w:szCs w:val="28"/>
        </w:rPr>
        <w:br w:type="textWrapping"/>
      </w:r>
      <w:r>
        <w:rPr>
          <w:rFonts w:hint="eastAsia" w:ascii="楷体_GB2312" w:eastAsia="楷体_GB2312"/>
          <w:b/>
          <w:sz w:val="20"/>
        </w:rPr>
        <w:t>（家长联）</w:t>
      </w:r>
    </w:p>
    <w:p>
      <w:pPr>
        <w:spacing w:line="500" w:lineRule="exact"/>
        <w:rPr>
          <w:rFonts w:ascii="仿宋_GB2312"/>
          <w:color w:val="000000"/>
          <w:sz w:val="22"/>
        </w:rPr>
      </w:pP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同学（学号：      ）家长：</w:t>
      </w:r>
    </w:p>
    <w:p>
      <w:pPr>
        <w:spacing w:line="500" w:lineRule="exact"/>
        <w:ind w:firstLine="432" w:firstLineChars="200"/>
        <w:rPr>
          <w:rFonts w:ascii="仿宋_GB2312"/>
          <w:color w:val="000000"/>
          <w:sz w:val="22"/>
        </w:rPr>
      </w:pPr>
      <w:r>
        <w:rPr>
          <w:rFonts w:hint="eastAsia" w:ascii="仿宋_GB2312"/>
          <w:color w:val="000000"/>
          <w:sz w:val="22"/>
        </w:rPr>
        <w:t>您好！根据人才培养方案规定，截至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学年第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学期，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同学应修满累计课程总学分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学分，实际获得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学分，未达到应修总学分的（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1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2</w:t>
      </w:r>
      <w:r>
        <w:rPr>
          <w:rFonts w:hint="eastAsia" w:ascii="仿宋_GB2312"/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3</w:t>
      </w:r>
      <w:r>
        <w:rPr>
          <w:rFonts w:hint="eastAsia" w:ascii="仿宋_GB2312"/>
          <w:color w:val="000000"/>
          <w:sz w:val="22"/>
        </w:rPr>
        <w:t>）。根据《华中师范大学全日制普通本科学生学籍管理细则》（华师行字〔</w:t>
      </w:r>
      <w:r>
        <w:rPr>
          <w:rFonts w:hint="eastAsia"/>
          <w:color w:val="000000"/>
          <w:sz w:val="22"/>
        </w:rPr>
        <w:t>2019</w:t>
      </w:r>
      <w:r>
        <w:rPr>
          <w:rFonts w:hint="eastAsia" w:ascii="仿宋_GB2312"/>
          <w:color w:val="000000"/>
          <w:sz w:val="22"/>
        </w:rPr>
        <w:t>〕</w:t>
      </w:r>
      <w:r>
        <w:rPr>
          <w:rFonts w:hint="eastAsia"/>
          <w:color w:val="000000"/>
          <w:sz w:val="22"/>
        </w:rPr>
        <w:t>128</w:t>
      </w:r>
      <w:r>
        <w:rPr>
          <w:rFonts w:hint="eastAsia" w:ascii="仿宋_GB2312"/>
          <w:color w:val="000000"/>
          <w:sz w:val="22"/>
        </w:rPr>
        <w:t>号）有关规定，已达到（学业性预警、学业性降级、学业性退学）条件。预警等级：（黄色预警、橙色预警、红色预警）。希望您密切关注孩子的学习情况，和我们共同努力，帮助</w:t>
      </w:r>
      <w:r>
        <w:rPr>
          <w:rFonts w:hint="eastAsia"/>
          <w:color w:val="000000"/>
          <w:sz w:val="22"/>
        </w:rPr>
        <w:t>XXX</w:t>
      </w:r>
      <w:r>
        <w:rPr>
          <w:rFonts w:hint="eastAsia" w:ascii="仿宋_GB2312"/>
          <w:color w:val="000000"/>
          <w:sz w:val="22"/>
        </w:rPr>
        <w:t>同学顺利完成学业。</w:t>
      </w:r>
    </w:p>
    <w:p>
      <w:pPr>
        <w:spacing w:line="500" w:lineRule="exact"/>
        <w:ind w:firstLine="432" w:firstLineChars="200"/>
        <w:rPr>
          <w:rFonts w:ascii="仿宋_GB2312"/>
          <w:color w:val="000000"/>
          <w:sz w:val="20"/>
          <w:szCs w:val="20"/>
        </w:rPr>
      </w:pPr>
      <w:r>
        <w:rPr>
          <w:rFonts w:hint="eastAsia" w:ascii="仿宋_GB2312"/>
          <w:color w:val="000000"/>
          <w:sz w:val="22"/>
        </w:rPr>
        <w:t>特此通知。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学部/学院</w:t>
      </w:r>
    </w:p>
    <w:p>
      <w:pPr>
        <w:snapToGrid w:val="0"/>
        <w:spacing w:line="324" w:lineRule="auto"/>
        <w:ind w:left="5883" w:leftChars="1862" w:right="480" w:rightChars="152"/>
        <w:jc w:val="center"/>
        <w:rPr>
          <w:rFonts w:ascii="仿宋_GB2312"/>
          <w:sz w:val="22"/>
        </w:rPr>
      </w:pPr>
      <w:r>
        <w:rPr>
          <w:rFonts w:hint="eastAsia" w:ascii="仿宋_GB2312"/>
          <w:sz w:val="22"/>
        </w:rPr>
        <w:t>年    月   日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snapToGrid w:val="0"/>
              <w:spacing w:before="590" w:beforeLines="100" w:after="295" w:afterLines="50" w:line="324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napToGrid w:val="0"/>
        <w:spacing w:before="590" w:beforeLines="100" w:after="590" w:afterLines="1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华中师范大学本科学生学业预警通知单（回执）</w:t>
      </w:r>
    </w:p>
    <w:p>
      <w:pPr>
        <w:rPr>
          <w:rFonts w:ascii="仿宋_GB2312"/>
          <w:sz w:val="22"/>
          <w:szCs w:val="22"/>
          <w:highlight w:val="yellow"/>
        </w:rPr>
      </w:pPr>
      <w:r>
        <w:rPr>
          <w:rFonts w:hint="eastAsia" w:ascii="仿宋_GB2312"/>
          <w:sz w:val="22"/>
          <w:szCs w:val="22"/>
        </w:rPr>
        <w:t>我已收悉华中师范大学本科学生学业预警通知单。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000"/>
        <w:gridCol w:w="1792"/>
        <w:gridCol w:w="2281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学生姓名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学部/学院</w:t>
            </w: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家长姓名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联系电话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黑体" w:cs="黑体"/>
                <w:b/>
                <w:sz w:val="22"/>
              </w:rPr>
            </w:pPr>
            <w:r>
              <w:rPr>
                <w:rFonts w:hint="eastAsia" w:ascii="仿宋_GB2312" w:hAnsi="黑体" w:cs="黑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  <w:jc w:val="center"/>
        </w:trPr>
        <w:tc>
          <w:tcPr>
            <w:tcW w:w="895" w:type="pct"/>
            <w:shd w:val="clear" w:color="auto" w:fill="auto"/>
            <w:vAlign w:val="center"/>
          </w:tcPr>
          <w:p>
            <w:pPr>
              <w:spacing w:line="360" w:lineRule="auto"/>
              <w:ind w:firstLine="472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spacing w:line="360" w:lineRule="auto"/>
              <w:ind w:firstLine="472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spacing w:line="360" w:lineRule="auto"/>
              <w:ind w:firstLine="472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spacing w:line="360" w:lineRule="auto"/>
              <w:ind w:firstLine="472" w:firstLineChars="20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spacing w:line="360" w:lineRule="auto"/>
              <w:ind w:firstLine="472" w:firstLineChars="200"/>
              <w:rPr>
                <w:rFonts w:ascii="仿宋_GB2312" w:hAnsi="仿宋_GB2312" w:cs="仿宋_GB2312"/>
                <w:sz w:val="24"/>
              </w:rPr>
            </w:pPr>
          </w:p>
        </w:tc>
      </w:tr>
    </w:tbl>
    <w:p/>
    <w:p>
      <w:pPr>
        <w:snapToGrid w:val="0"/>
        <w:jc w:val="right"/>
        <w:rPr>
          <w:rFonts w:ascii="楷体_GB2312" w:eastAsia="楷体_GB2312"/>
          <w:b/>
          <w:sz w:val="24"/>
        </w:rPr>
      </w:pPr>
      <w:r>
        <w:br w:type="page"/>
      </w:r>
    </w:p>
    <w:p>
      <w:pPr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eastAsia="黑体"/>
        </w:rPr>
        <w:t>2</w:t>
      </w:r>
    </w:p>
    <w:p>
      <w:pPr>
        <w:snapToGrid w:val="0"/>
        <w:spacing w:before="295" w:beforeLines="50" w:after="295" w:afterLines="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华中师范大学本科学生学业预警档案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776"/>
        <w:gridCol w:w="106"/>
        <w:gridCol w:w="1061"/>
        <w:gridCol w:w="126"/>
        <w:gridCol w:w="873"/>
        <w:gridCol w:w="238"/>
        <w:gridCol w:w="806"/>
        <w:gridCol w:w="11"/>
        <w:gridCol w:w="900"/>
        <w:gridCol w:w="98"/>
        <w:gridCol w:w="1047"/>
        <w:gridCol w:w="14"/>
        <w:gridCol w:w="880"/>
        <w:gridCol w:w="99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6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ind w:left="-158" w:leftChars="-50" w:right="-158" w:rightChars="-5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学部/学院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5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学生联系电话</w:t>
            </w:r>
          </w:p>
        </w:tc>
        <w:tc>
          <w:tcPr>
            <w:tcW w:w="7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QQ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英语水平</w:t>
            </w:r>
          </w:p>
        </w:tc>
        <w:tc>
          <w:tcPr>
            <w:tcW w:w="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家长联络电话</w:t>
            </w:r>
          </w:p>
        </w:tc>
        <w:tc>
          <w:tcPr>
            <w:tcW w:w="297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家庭地址及邮编</w:t>
            </w:r>
          </w:p>
        </w:tc>
        <w:tc>
          <w:tcPr>
            <w:tcW w:w="2975" w:type="pct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ind w:firstLine="206" w:firstLineChars="10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10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11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11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第三学年</w:t>
            </w:r>
          </w:p>
        </w:tc>
        <w:tc>
          <w:tcPr>
            <w:tcW w:w="10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第四学年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学业平均学分绩</w:t>
            </w: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挂科科目</w:t>
            </w: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学业问题描述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学生自拟计划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学部/学院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帮扶计划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>（以学部/学院责任人、时间表方式拟定）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                                    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                             签字：      日期：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辅导记录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6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jc w:val="center"/>
      </w:pPr>
      <w:r>
        <w:rPr>
          <w:rFonts w:hint="eastAsia" w:ascii="楷体_GB2312" w:eastAsia="楷体_GB2312"/>
          <w:b/>
          <w:sz w:val="24"/>
        </w:rPr>
        <w:t>（可以扩页填写）                   本科生院（党委学生工作部（人武部））制表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27C93"/>
    <w:rsid w:val="00814F9E"/>
    <w:rsid w:val="00C96CEA"/>
    <w:rsid w:val="00CE527F"/>
    <w:rsid w:val="06C80BC6"/>
    <w:rsid w:val="0A2A2545"/>
    <w:rsid w:val="0DC91670"/>
    <w:rsid w:val="10E32E4A"/>
    <w:rsid w:val="13685750"/>
    <w:rsid w:val="13AB39FA"/>
    <w:rsid w:val="19B27C93"/>
    <w:rsid w:val="217C2BB2"/>
    <w:rsid w:val="277C61B7"/>
    <w:rsid w:val="283E1F41"/>
    <w:rsid w:val="2C6440C9"/>
    <w:rsid w:val="2C9A4BF4"/>
    <w:rsid w:val="31C7744B"/>
    <w:rsid w:val="4E355BE7"/>
    <w:rsid w:val="531471FE"/>
    <w:rsid w:val="56A9422A"/>
    <w:rsid w:val="5C312767"/>
    <w:rsid w:val="60F60597"/>
    <w:rsid w:val="63B00339"/>
    <w:rsid w:val="6E6C1360"/>
    <w:rsid w:val="7D9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463</Words>
  <Characters>2642</Characters>
  <Lines>22</Lines>
  <Paragraphs>6</Paragraphs>
  <TotalTime>35</TotalTime>
  <ScaleCrop>false</ScaleCrop>
  <LinksUpToDate>false</LinksUpToDate>
  <CharactersWithSpaces>3099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2021-03-11T06:29:00Z</dcterms:created>
  <dc:creator>math</dc:creator>
  <cp:lastModifiedBy>柯西李东</cp:lastModifiedBy>
  <cp:lastPrinted>2021-03-17T00:32:00Z</cp:lastPrinted>
  <dcterms:modified xsi:type="dcterms:W3CDTF">2021-03-17T00:49:59Z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